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tabs>
          <w:tab w:val="left" w:pos="2628"/>
        </w:tabs>
        <w:spacing w:before="0" w:beforeAutospacing="0" w:after="0" w:afterAutospacing="0"/>
        <w:ind w:left="720" w:leftChars="0"/>
        <w:jc w:val="both"/>
        <w:rPr>
          <w:rFonts w:ascii="微软雅黑" w:hAnsi="微软雅黑" w:eastAsia="微软雅黑" w:cs="Arial"/>
          <w:b/>
          <w:sz w:val="20"/>
          <w:szCs w:val="20"/>
        </w:rPr>
      </w:pPr>
      <w:bookmarkStart w:id="0" w:name="_GoBack"/>
      <w:bookmarkEnd w:id="0"/>
      <w:r>
        <w:rPr>
          <w:rFonts w:ascii="微软雅黑" w:hAnsi="微软雅黑" w:eastAsia="微软雅黑" w:cs="Arial"/>
          <w:b/>
          <w:sz w:val="20"/>
          <w:szCs w:val="20"/>
        </w:rPr>
        <w:t>ABOUT ZHONG YANG FINANCIAL GROUP LIMITED (Nasdaq: TOP)</w:t>
      </w:r>
    </w:p>
    <w:p>
      <w:pPr>
        <w:spacing w:after="0" w:line="240" w:lineRule="auto"/>
        <w:jc w:val="both"/>
        <w:rPr>
          <w:rFonts w:ascii="微软雅黑" w:hAnsi="微软雅黑" w:eastAsia="微软雅黑" w:cstheme="minorHAnsi"/>
          <w:sz w:val="20"/>
          <w:szCs w:val="20"/>
        </w:rPr>
      </w:pPr>
    </w:p>
    <w:p>
      <w:pPr>
        <w:jc w:val="both"/>
        <w:rPr>
          <w:rFonts w:ascii="微软雅黑" w:hAnsi="微软雅黑" w:eastAsia="微软雅黑" w:cs="Times New Roman"/>
          <w:sz w:val="20"/>
          <w:szCs w:val="20"/>
        </w:rPr>
      </w:pPr>
      <w:r>
        <w:rPr>
          <w:rFonts w:ascii="微软雅黑" w:hAnsi="微软雅黑" w:eastAsia="微软雅黑" w:cs="Times New Roman"/>
          <w:sz w:val="20"/>
          <w:szCs w:val="20"/>
        </w:rPr>
        <w:t xml:space="preserve">Headquartered in Hong Kong and started business in 2015, we are a holding company conduct our business in Hong Kong through our wholly-owned subsidiaries. We operate online brokerage platforms specializing in the trading of local and foreign equities, futures, and options products. </w:t>
      </w:r>
    </w:p>
    <w:p>
      <w:pPr>
        <w:jc w:val="both"/>
        <w:rPr>
          <w:rFonts w:ascii="微软雅黑" w:hAnsi="微软雅黑" w:eastAsia="微软雅黑" w:cs="Times New Roman"/>
          <w:sz w:val="20"/>
          <w:szCs w:val="20"/>
        </w:rPr>
      </w:pPr>
      <w:r>
        <w:rPr>
          <w:rFonts w:ascii="微软雅黑" w:hAnsi="微软雅黑" w:eastAsia="微软雅黑" w:cs="Times New Roman"/>
          <w:sz w:val="20"/>
          <w:szCs w:val="20"/>
        </w:rPr>
        <w:t>We create value for customers by providing reliable trading platforms, user-friendly web and app interface, and seamless customer support. Our Operating subsidiaries generate revenues primarily by charging commission fees on futures transactions at a flat rate for each futures transaction contract. Currently our customers are mainly high volume and frequency trading institutional and individual investors primarily residing in Asia and we are currently focusing on expanding our customer base to Southeast Asian investors.</w:t>
      </w:r>
    </w:p>
    <w:p>
      <w:pPr>
        <w:jc w:val="both"/>
        <w:rPr>
          <w:rFonts w:ascii="微软雅黑" w:hAnsi="微软雅黑" w:eastAsia="微软雅黑" w:cs="Times New Roman"/>
          <w:sz w:val="20"/>
          <w:szCs w:val="20"/>
        </w:rPr>
      </w:pPr>
      <w:r>
        <w:rPr>
          <w:rFonts w:ascii="微软雅黑" w:hAnsi="微软雅黑" w:eastAsia="微软雅黑" w:cs="Times New Roman"/>
          <w:sz w:val="20"/>
          <w:szCs w:val="20"/>
        </w:rPr>
        <w:t>The trading platforms, which the operating subsidiaries license from third parties enable its investors to trade on renowned stock and futures exchanges around the world, including the Chicago Mercantile Exchange, Hong Kong Futures Exchange, The New York Mercantile Exchange, The Chicago Board of Trade, The Commodity Exchange, Eurex Exchange, ICE Clear Europe Limited, Singapore Exchange, Australia Securities Exchange, Bursa Malaysia Derivatives Berhad, and Osaka Exchange. The operating subsidiaries are licensed with the Securities and Futures Commission of Hong Kong to carry out type 1 (dealing in securities), type 2 (dealing in futures contracts) regulated activities, and are licensed with the HKSFC to carry out type 4 (advising on securities), type 5 (advising on futures contracts), and type 9 (asset management) regulated activities in Hong Kong.</w:t>
      </w:r>
    </w:p>
    <w:p>
      <w:pPr>
        <w:shd w:val="clear" w:color="auto" w:fill="FFFFFF"/>
        <w:jc w:val="both"/>
        <w:rPr>
          <w:rFonts w:ascii="微软雅黑" w:hAnsi="微软雅黑" w:eastAsia="微软雅黑" w:cs="Times New Roman"/>
          <w:sz w:val="20"/>
          <w:szCs w:val="20"/>
        </w:rPr>
      </w:pPr>
      <w:r>
        <w:rPr>
          <w:rFonts w:ascii="微软雅黑" w:hAnsi="微软雅黑" w:eastAsia="微软雅黑" w:cs="Times New Roman"/>
          <w:sz w:val="20"/>
          <w:szCs w:val="20"/>
        </w:rPr>
        <w:t>Our continuous efforts focused on offering value-added services and access to exchanges around the globe, together with user friendly experience, have enabled us to become a fast-growing online trading platform.</w:t>
      </w:r>
    </w:p>
    <w:p>
      <w:pPr>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35D21BCD"/>
    <w:rsid w:val="35D21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2022-06-07T12:47:00Z</dcterms:created>
  <dc:creator>Administrator</dc:creator>
  <cp:lastModifiedBy>Administrator</cp:lastModifiedBy>
  <dcterms:modified xsi:type="dcterms:W3CDTF">2022-06-07T12:48:09Z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5D675AC099564B2F8AF7D801C0C12C9A</vt:lpwstr>
  </property>
</Properties>
</file>